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C0" w:rsidRPr="003B56C0" w:rsidRDefault="003B56C0" w:rsidP="003B56C0">
      <w:pPr>
        <w:pBdr>
          <w:bottom w:val="single" w:sz="24" w:space="11" w:color="87B4E2"/>
        </w:pBdr>
        <w:shd w:val="clear" w:color="auto" w:fill="FFFFFF"/>
        <w:spacing w:after="225" w:line="264" w:lineRule="atLeast"/>
        <w:outlineLvl w:val="0"/>
        <w:rPr>
          <w:rFonts w:ascii="Arial" w:eastAsia="Times New Roman" w:hAnsi="Arial" w:cs="Arial"/>
          <w:b/>
          <w:bCs/>
          <w:color w:val="2558A5"/>
          <w:kern w:val="36"/>
          <w:sz w:val="48"/>
          <w:szCs w:val="48"/>
          <w:lang w:eastAsia="ru-RU"/>
        </w:rPr>
      </w:pPr>
      <w:r w:rsidRPr="003B56C0">
        <w:rPr>
          <w:rFonts w:ascii="Arial" w:eastAsia="Times New Roman" w:hAnsi="Arial" w:cs="Arial"/>
          <w:b/>
          <w:bCs/>
          <w:color w:val="2558A5"/>
          <w:kern w:val="36"/>
          <w:sz w:val="48"/>
          <w:szCs w:val="48"/>
          <w:lang w:eastAsia="ru-RU"/>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hyperlink r:id="rId4" w:anchor="_ftn1" w:history="1">
        <w:r w:rsidRPr="003B56C0">
          <w:rPr>
            <w:rFonts w:ascii="Arial" w:eastAsia="Times New Roman" w:hAnsi="Arial" w:cs="Arial"/>
            <w:color w:val="0E60AB"/>
            <w:sz w:val="25"/>
            <w:u w:val="single"/>
            <w:lang w:eastAsia="ru-RU"/>
          </w:rPr>
          <w:t>[1]</w:t>
        </w:r>
      </w:hyperlink>
      <w:r w:rsidRPr="003B56C0">
        <w:rPr>
          <w:rFonts w:ascii="Arial" w:eastAsia="Times New Roman" w:hAnsi="Arial" w:cs="Arial"/>
          <w:color w:val="222222"/>
          <w:sz w:val="25"/>
          <w:szCs w:val="25"/>
          <w:lang w:eastAsia="ru-RU"/>
        </w:rPr>
        <w:t>.</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Насилие</w:t>
      </w:r>
      <w:r w:rsidRPr="003B56C0">
        <w:rPr>
          <w:rFonts w:ascii="Arial" w:eastAsia="Times New Roman" w:hAnsi="Arial" w:cs="Arial"/>
          <w:color w:val="222222"/>
          <w:sz w:val="25"/>
          <w:szCs w:val="25"/>
          <w:lang w:eastAsia="ru-RU"/>
        </w:rPr>
        <w:t> – любая форма взаимоотношений, направленная на установление или удержание контроля над другим человеком.</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Выделяют несколько основных форм насилия: </w:t>
      </w:r>
      <w:r w:rsidRPr="003B56C0">
        <w:rPr>
          <w:rFonts w:ascii="Arial" w:eastAsia="Times New Roman" w:hAnsi="Arial" w:cs="Arial"/>
          <w:b/>
          <w:bCs/>
          <w:color w:val="222222"/>
          <w:sz w:val="25"/>
          <w:lang w:eastAsia="ru-RU"/>
        </w:rPr>
        <w:t>физическое, сексуальное, психическое.</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proofErr w:type="gramStart"/>
      <w:r w:rsidRPr="003B56C0">
        <w:rPr>
          <w:rFonts w:ascii="Arial" w:eastAsia="Times New Roman" w:hAnsi="Arial" w:cs="Arial"/>
          <w:b/>
          <w:bCs/>
          <w:color w:val="222222"/>
          <w:sz w:val="25"/>
          <w:u w:val="single"/>
          <w:lang w:eastAsia="ru-RU"/>
        </w:rPr>
        <w:t>Физическое насилие</w:t>
      </w:r>
      <w:r w:rsidRPr="003B56C0">
        <w:rPr>
          <w:rFonts w:ascii="Arial" w:eastAsia="Times New Roman" w:hAnsi="Arial" w:cs="Arial"/>
          <w:color w:val="222222"/>
          <w:sz w:val="25"/>
          <w:szCs w:val="25"/>
          <w:lang w:eastAsia="ru-RU"/>
        </w:rPr>
        <w:t>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hyperlink r:id="rId5" w:anchor="_ftn2" w:history="1">
        <w:r w:rsidRPr="003B56C0">
          <w:rPr>
            <w:rFonts w:ascii="Arial" w:eastAsia="Times New Roman" w:hAnsi="Arial" w:cs="Arial"/>
            <w:color w:val="0E60AB"/>
            <w:sz w:val="25"/>
            <w:u w:val="single"/>
            <w:lang w:eastAsia="ru-RU"/>
          </w:rPr>
          <w:t>[2]</w:t>
        </w:r>
      </w:hyperlink>
      <w:r w:rsidRPr="003B56C0">
        <w:rPr>
          <w:rFonts w:ascii="Arial" w:eastAsia="Times New Roman" w:hAnsi="Arial" w:cs="Arial"/>
          <w:color w:val="222222"/>
          <w:sz w:val="25"/>
          <w:szCs w:val="25"/>
          <w:lang w:eastAsia="ru-RU"/>
        </w:rPr>
        <w:t>.</w:t>
      </w:r>
      <w:proofErr w:type="gramEnd"/>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u w:val="single"/>
          <w:lang w:eastAsia="ru-RU"/>
        </w:rPr>
        <w:t>Психическое (эмоциональное) насилие</w:t>
      </w:r>
      <w:r w:rsidRPr="003B56C0">
        <w:rPr>
          <w:rFonts w:ascii="Arial" w:eastAsia="Times New Roman" w:hAnsi="Arial" w:cs="Arial"/>
          <w:color w:val="222222"/>
          <w:sz w:val="25"/>
          <w:szCs w:val="25"/>
          <w:lang w:eastAsia="ru-RU"/>
        </w:rP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hyperlink r:id="rId6" w:anchor="_ftn3" w:history="1">
        <w:r w:rsidRPr="003B56C0">
          <w:rPr>
            <w:rFonts w:ascii="Arial" w:eastAsia="Times New Roman" w:hAnsi="Arial" w:cs="Arial"/>
            <w:color w:val="0E60AB"/>
            <w:sz w:val="25"/>
            <w:u w:val="single"/>
            <w:lang w:eastAsia="ru-RU"/>
          </w:rPr>
          <w:t>[3]</w:t>
        </w:r>
      </w:hyperlink>
      <w:r w:rsidRPr="003B56C0">
        <w:rPr>
          <w:rFonts w:ascii="Arial" w:eastAsia="Times New Roman" w:hAnsi="Arial" w:cs="Arial"/>
          <w:color w:val="222222"/>
          <w:sz w:val="25"/>
          <w:szCs w:val="25"/>
          <w:lang w:eastAsia="ru-RU"/>
        </w:rPr>
        <w:t>.</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 xml:space="preserve">Психическое насилие по своей сущности является наиболее латентным, так как </w:t>
      </w:r>
      <w:proofErr w:type="spellStart"/>
      <w:r w:rsidRPr="003B56C0">
        <w:rPr>
          <w:rFonts w:ascii="Arial" w:eastAsia="Times New Roman" w:hAnsi="Arial" w:cs="Arial"/>
          <w:color w:val="222222"/>
          <w:sz w:val="25"/>
          <w:szCs w:val="25"/>
          <w:lang w:eastAsia="ru-RU"/>
        </w:rPr>
        <w:t>сложнодоказуемо</w:t>
      </w:r>
      <w:proofErr w:type="spellEnd"/>
      <w:r w:rsidRPr="003B56C0">
        <w:rPr>
          <w:rFonts w:ascii="Arial" w:eastAsia="Times New Roman" w:hAnsi="Arial" w:cs="Arial"/>
          <w:color w:val="222222"/>
          <w:sz w:val="25"/>
          <w:szCs w:val="25"/>
          <w:lang w:eastAsia="ru-RU"/>
        </w:rPr>
        <w:t xml:space="preserve"> ввиду отсутствия внешних следов.</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u w:val="single"/>
          <w:lang w:eastAsia="ru-RU"/>
        </w:rPr>
        <w:t>Сексуальное насилие</w:t>
      </w:r>
      <w:r w:rsidRPr="003B56C0">
        <w:rPr>
          <w:rFonts w:ascii="Arial" w:eastAsia="Times New Roman" w:hAnsi="Arial" w:cs="Arial"/>
          <w:color w:val="222222"/>
          <w:sz w:val="25"/>
          <w:szCs w:val="25"/>
          <w:lang w:eastAsia="ru-RU"/>
        </w:rPr>
        <w:t> – вовлечение ребенка с его согласия или без такового в прямые или непрямые действия сексуального характера</w:t>
      </w:r>
      <w:r w:rsidRPr="003B56C0">
        <w:rPr>
          <w:rFonts w:ascii="Arial" w:eastAsia="Times New Roman" w:hAnsi="Arial" w:cs="Arial"/>
          <w:color w:val="222222"/>
          <w:sz w:val="25"/>
          <w:szCs w:val="25"/>
          <w:lang w:eastAsia="ru-RU"/>
        </w:rPr>
        <w:br/>
      </w:r>
      <w:proofErr w:type="gramStart"/>
      <w:r w:rsidRPr="003B56C0">
        <w:rPr>
          <w:rFonts w:ascii="Arial" w:eastAsia="Times New Roman" w:hAnsi="Arial" w:cs="Arial"/>
          <w:color w:val="222222"/>
          <w:sz w:val="25"/>
          <w:szCs w:val="25"/>
          <w:lang w:eastAsia="ru-RU"/>
        </w:rPr>
        <w:t>со</w:t>
      </w:r>
      <w:proofErr w:type="gramEnd"/>
      <w:r w:rsidRPr="003B56C0">
        <w:rPr>
          <w:rFonts w:ascii="Arial" w:eastAsia="Times New Roman" w:hAnsi="Arial" w:cs="Arial"/>
          <w:color w:val="222222"/>
          <w:sz w:val="25"/>
          <w:szCs w:val="25"/>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w:t>
      </w:r>
      <w:r w:rsidRPr="003B56C0">
        <w:rPr>
          <w:rFonts w:ascii="Arial" w:eastAsia="Times New Roman" w:hAnsi="Arial" w:cs="Arial"/>
          <w:color w:val="222222"/>
          <w:sz w:val="25"/>
          <w:szCs w:val="25"/>
          <w:lang w:eastAsia="ru-RU"/>
        </w:rPr>
        <w:lastRenderedPageBreak/>
        <w:t>интимных процедур, «</w:t>
      </w:r>
      <w:proofErr w:type="spellStart"/>
      <w:r w:rsidRPr="003B56C0">
        <w:rPr>
          <w:rFonts w:ascii="Arial" w:eastAsia="Times New Roman" w:hAnsi="Arial" w:cs="Arial"/>
          <w:color w:val="222222"/>
          <w:sz w:val="25"/>
          <w:szCs w:val="25"/>
          <w:lang w:eastAsia="ru-RU"/>
        </w:rPr>
        <w:t>груминг</w:t>
      </w:r>
      <w:proofErr w:type="spellEnd"/>
      <w:r w:rsidRPr="003B56C0">
        <w:rPr>
          <w:rFonts w:ascii="Arial" w:eastAsia="Times New Roman" w:hAnsi="Arial" w:cs="Arial"/>
          <w:color w:val="222222"/>
          <w:sz w:val="25"/>
          <w:szCs w:val="25"/>
          <w:lang w:eastAsia="ru-RU"/>
        </w:rPr>
        <w:t>», осуществляемый, как правило, посредством сети Интернет.</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 xml:space="preserve">Указанное насилие также является </w:t>
      </w:r>
      <w:proofErr w:type="spellStart"/>
      <w:r w:rsidRPr="003B56C0">
        <w:rPr>
          <w:rFonts w:ascii="Arial" w:eastAsia="Times New Roman" w:hAnsi="Arial" w:cs="Arial"/>
          <w:color w:val="222222"/>
          <w:sz w:val="25"/>
          <w:szCs w:val="25"/>
          <w:lang w:eastAsia="ru-RU"/>
        </w:rPr>
        <w:t>высоколатентным</w:t>
      </w:r>
      <w:proofErr w:type="spellEnd"/>
      <w:r w:rsidRPr="003B56C0">
        <w:rPr>
          <w:rFonts w:ascii="Arial" w:eastAsia="Times New Roman" w:hAnsi="Arial" w:cs="Arial"/>
          <w:color w:val="222222"/>
          <w:sz w:val="25"/>
          <w:szCs w:val="25"/>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3B56C0">
        <w:rPr>
          <w:rFonts w:ascii="Arial" w:eastAsia="Times New Roman" w:hAnsi="Arial" w:cs="Arial"/>
          <w:color w:val="222222"/>
          <w:sz w:val="25"/>
          <w:szCs w:val="25"/>
          <w:lang w:eastAsia="ru-RU"/>
        </w:rPr>
        <w:t>на</w:t>
      </w:r>
      <w:proofErr w:type="gramEnd"/>
      <w:r w:rsidRPr="003B56C0">
        <w:rPr>
          <w:rFonts w:ascii="Arial" w:eastAsia="Times New Roman" w:hAnsi="Arial" w:cs="Arial"/>
          <w:color w:val="222222"/>
          <w:sz w:val="25"/>
          <w:szCs w:val="25"/>
          <w:lang w:eastAsia="ru-RU"/>
        </w:rPr>
        <w:t>:</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1. Признаки физического насилия:</w:t>
      </w:r>
      <w:r w:rsidRPr="003B56C0">
        <w:rPr>
          <w:rFonts w:ascii="Arial" w:eastAsia="Times New Roman" w:hAnsi="Arial" w:cs="Arial"/>
          <w:color w:val="222222"/>
          <w:sz w:val="25"/>
          <w:szCs w:val="25"/>
          <w:lang w:eastAsia="ru-RU"/>
        </w:rPr>
        <w:t>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их расположение (на плечах, груди, ягодицах, внутренней поверхности бедер, на щеках и т.д.);</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2. Формы психического насилия: </w:t>
      </w:r>
      <w:r w:rsidRPr="003B56C0">
        <w:rPr>
          <w:rFonts w:ascii="Arial" w:eastAsia="Times New Roman" w:hAnsi="Arial" w:cs="Arial"/>
          <w:color w:val="222222"/>
          <w:sz w:val="25"/>
          <w:szCs w:val="25"/>
          <w:lang w:eastAsia="ru-RU"/>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 xml:space="preserve">3. </w:t>
      </w:r>
      <w:proofErr w:type="gramStart"/>
      <w:r w:rsidRPr="003B56C0">
        <w:rPr>
          <w:rFonts w:ascii="Arial" w:eastAsia="Times New Roman" w:hAnsi="Arial" w:cs="Arial"/>
          <w:b/>
          <w:bCs/>
          <w:color w:val="222222"/>
          <w:sz w:val="25"/>
          <w:lang w:eastAsia="ru-RU"/>
        </w:rPr>
        <w:t>Особенности физического состояния и поведения ребенка: </w:t>
      </w:r>
      <w:proofErr w:type="spellStart"/>
      <w:r w:rsidRPr="003B56C0">
        <w:rPr>
          <w:rFonts w:ascii="Arial" w:eastAsia="Times New Roman" w:hAnsi="Arial" w:cs="Arial"/>
          <w:color w:val="222222"/>
          <w:sz w:val="25"/>
          <w:szCs w:val="25"/>
          <w:lang w:eastAsia="ru-RU"/>
        </w:rPr>
        <w:t>сексуализированное</w:t>
      </w:r>
      <w:proofErr w:type="spellEnd"/>
      <w:r w:rsidRPr="003B56C0">
        <w:rPr>
          <w:rFonts w:ascii="Arial" w:eastAsia="Times New Roman" w:hAnsi="Arial" w:cs="Arial"/>
          <w:color w:val="222222"/>
          <w:sz w:val="25"/>
          <w:szCs w:val="25"/>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w:t>
      </w:r>
      <w:proofErr w:type="spellStart"/>
      <w:r w:rsidRPr="003B56C0">
        <w:rPr>
          <w:rFonts w:ascii="Arial" w:eastAsia="Times New Roman" w:hAnsi="Arial" w:cs="Arial"/>
          <w:color w:val="222222"/>
          <w:sz w:val="25"/>
          <w:szCs w:val="25"/>
          <w:lang w:eastAsia="ru-RU"/>
        </w:rPr>
        <w:t>др</w:t>
      </w:r>
      <w:proofErr w:type="spellEnd"/>
      <w:hyperlink r:id="rId7" w:anchor="_ftn4" w:history="1">
        <w:r w:rsidRPr="003B56C0">
          <w:rPr>
            <w:rFonts w:ascii="Arial" w:eastAsia="Times New Roman" w:hAnsi="Arial" w:cs="Arial"/>
            <w:color w:val="0E60AB"/>
            <w:sz w:val="25"/>
            <w:u w:val="single"/>
            <w:lang w:eastAsia="ru-RU"/>
          </w:rPr>
          <w:t>[4]</w:t>
        </w:r>
      </w:hyperlink>
      <w:r w:rsidRPr="003B56C0">
        <w:rPr>
          <w:rFonts w:ascii="Arial" w:eastAsia="Times New Roman" w:hAnsi="Arial" w:cs="Arial"/>
          <w:color w:val="222222"/>
          <w:sz w:val="25"/>
          <w:szCs w:val="25"/>
          <w:lang w:eastAsia="ru-RU"/>
        </w:rPr>
        <w:t>.</w:t>
      </w:r>
      <w:proofErr w:type="gramEnd"/>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4. Особенности взаимоотношений в семье, если наблюдаются: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неоднократное обращение за медицинской помощью в связи с повреждениями;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несоответствие характера повреждения обстоятельствам случившегося по рассказам законных представителей или очевидцев;</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lastRenderedPageBreak/>
        <w:t>противоречивые, путаные объяснения законных представителей о причинах возникновения травмы у ребенка;</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обвинение в случившемся самого несовершеннолетнего;</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отсутствие обеспокоенности за судьбу и здоровье ребенка, бездействие или позднее обращение за медицинской помощью;</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неадекватная оценка тяжести травмы, стремление ее преувеличить или приуменьшить;</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обеспокоенность собственными проблемами, рассказы о том, как их наказывали в детстве.</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поступившая от ребенка;</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поступившая от членов семьи несовершеннолетнего;</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поступившая от работников учреждений образования;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поступившая от сверстников и друзей, соседей, иных граждан;</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собранная в ходе психологической диагностики, наблюдений за ребенком;</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информация, поступившая от медицинского работника учреждения образования.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Руководитель учреждения образования</w:t>
      </w:r>
      <w:r w:rsidRPr="003B56C0">
        <w:rPr>
          <w:rFonts w:ascii="Arial" w:eastAsia="Times New Roman" w:hAnsi="Arial" w:cs="Arial"/>
          <w:color w:val="222222"/>
          <w:sz w:val="25"/>
          <w:szCs w:val="25"/>
          <w:lang w:eastAsia="ru-RU"/>
        </w:rPr>
        <w:t> после того, как ему стало известно о признаках (факте) насилия: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незамедлительно сообщает по телефону в управление (отдел) образования, спорта и туризма ра</w:t>
      </w:r>
      <w:proofErr w:type="gramStart"/>
      <w:r w:rsidRPr="003B56C0">
        <w:rPr>
          <w:rFonts w:ascii="Arial" w:eastAsia="Times New Roman" w:hAnsi="Arial" w:cs="Arial"/>
          <w:color w:val="222222"/>
          <w:sz w:val="25"/>
          <w:szCs w:val="25"/>
          <w:lang w:eastAsia="ru-RU"/>
        </w:rPr>
        <w:t>й(</w:t>
      </w:r>
      <w:proofErr w:type="gramEnd"/>
      <w:r w:rsidRPr="003B56C0">
        <w:rPr>
          <w:rFonts w:ascii="Arial" w:eastAsia="Times New Roman" w:hAnsi="Arial" w:cs="Arial"/>
          <w:color w:val="222222"/>
          <w:sz w:val="25"/>
          <w:szCs w:val="25"/>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 xml:space="preserve">поручает педагогу-психологу учреждения образования провести консультацию (беседу) с несовершеннолетним, ставшим жертвой насилия, в целях </w:t>
      </w:r>
      <w:r w:rsidRPr="003B56C0">
        <w:rPr>
          <w:rFonts w:ascii="Arial" w:eastAsia="Times New Roman" w:hAnsi="Arial" w:cs="Arial"/>
          <w:color w:val="222222"/>
          <w:sz w:val="25"/>
          <w:szCs w:val="25"/>
          <w:lang w:eastAsia="ru-RU"/>
        </w:rPr>
        <w:lastRenderedPageBreak/>
        <w:t>устанавливания причин травм у ребенка и оказания ему психологической помощи;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 </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b/>
          <w:bCs/>
          <w:color w:val="222222"/>
          <w:sz w:val="25"/>
          <w:lang w:eastAsia="ru-RU"/>
        </w:rPr>
        <w:t>Сотрудники ОВД</w:t>
      </w:r>
      <w:r w:rsidRPr="003B56C0">
        <w:rPr>
          <w:rFonts w:ascii="Arial" w:eastAsia="Times New Roman" w:hAnsi="Arial" w:cs="Arial"/>
          <w:color w:val="222222"/>
          <w:sz w:val="25"/>
          <w:szCs w:val="25"/>
          <w:lang w:eastAsia="ru-RU"/>
        </w:rPr>
        <w:t> </w:t>
      </w:r>
      <w:r w:rsidRPr="003B56C0">
        <w:rPr>
          <w:rFonts w:ascii="Arial" w:eastAsia="Times New Roman" w:hAnsi="Arial" w:cs="Arial"/>
          <w:b/>
          <w:bCs/>
          <w:color w:val="222222"/>
          <w:sz w:val="25"/>
          <w:lang w:eastAsia="ru-RU"/>
        </w:rPr>
        <w:t>при получении информации от руководителя учреждения образования:</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осуществляют изучение и анализ поступившей информации;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в установленном порядке проводят проверку по представленной информации.</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В случае</w:t>
      </w:r>
      <w:proofErr w:type="gramStart"/>
      <w:r w:rsidRPr="003B56C0">
        <w:rPr>
          <w:rFonts w:ascii="Arial" w:eastAsia="Times New Roman" w:hAnsi="Arial" w:cs="Arial"/>
          <w:color w:val="222222"/>
          <w:sz w:val="25"/>
          <w:szCs w:val="25"/>
          <w:lang w:eastAsia="ru-RU"/>
        </w:rPr>
        <w:t>,</w:t>
      </w:r>
      <w:proofErr w:type="gramEnd"/>
      <w:r w:rsidRPr="003B56C0">
        <w:rPr>
          <w:rFonts w:ascii="Arial" w:eastAsia="Times New Roman" w:hAnsi="Arial" w:cs="Arial"/>
          <w:color w:val="222222"/>
          <w:sz w:val="25"/>
          <w:szCs w:val="25"/>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hyperlink r:id="rId8" w:anchor="_ftn5" w:history="1">
        <w:r w:rsidRPr="003B56C0">
          <w:rPr>
            <w:rFonts w:ascii="Arial" w:eastAsia="Times New Roman" w:hAnsi="Arial" w:cs="Arial"/>
            <w:color w:val="0E60AB"/>
            <w:sz w:val="25"/>
            <w:u w:val="single"/>
            <w:lang w:eastAsia="ru-RU"/>
          </w:rPr>
          <w:t>[5]</w:t>
        </w:r>
      </w:hyperlink>
      <w:r w:rsidRPr="003B56C0">
        <w:rPr>
          <w:rFonts w:ascii="Arial" w:eastAsia="Times New Roman" w:hAnsi="Arial" w:cs="Arial"/>
          <w:color w:val="222222"/>
          <w:sz w:val="25"/>
          <w:szCs w:val="25"/>
          <w:lang w:eastAsia="ru-RU"/>
        </w:rPr>
        <w:t>.</w:t>
      </w:r>
      <w:r w:rsidRPr="003B56C0">
        <w:rPr>
          <w:rFonts w:ascii="Arial" w:eastAsia="Times New Roman" w:hAnsi="Arial" w:cs="Arial"/>
          <w:b/>
          <w:bCs/>
          <w:color w:val="222222"/>
          <w:sz w:val="25"/>
          <w:lang w:eastAsia="ru-RU"/>
        </w:rPr>
        <w:t>                          </w:t>
      </w:r>
    </w:p>
    <w:p w:rsidR="003B56C0" w:rsidRPr="003B56C0" w:rsidRDefault="003B56C0" w:rsidP="003B56C0">
      <w:pPr>
        <w:shd w:val="clear" w:color="auto" w:fill="FFFFFF"/>
        <w:spacing w:before="300" w:after="300" w:line="240" w:lineRule="auto"/>
        <w:rPr>
          <w:rFonts w:ascii="Arial" w:eastAsia="Times New Roman" w:hAnsi="Arial" w:cs="Arial"/>
          <w:color w:val="222222"/>
          <w:sz w:val="25"/>
          <w:szCs w:val="25"/>
          <w:lang w:eastAsia="ru-RU"/>
        </w:rPr>
      </w:pPr>
      <w:r w:rsidRPr="003B56C0">
        <w:rPr>
          <w:rFonts w:ascii="Arial" w:eastAsia="Times New Roman" w:hAnsi="Arial" w:cs="Arial"/>
          <w:color w:val="222222"/>
          <w:sz w:val="25"/>
          <w:szCs w:val="25"/>
          <w:lang w:eastAsia="ru-RU"/>
        </w:rPr>
        <w:pict>
          <v:rect id="_x0000_i1025" style="width:0;height:0" o:hralign="center" o:hrstd="t" o:hr="t" fillcolor="#a0a0a0" stroked="f"/>
        </w:pic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hyperlink r:id="rId9" w:anchor="_ftnref1" w:history="1">
        <w:r w:rsidRPr="003B56C0">
          <w:rPr>
            <w:rFonts w:ascii="Arial" w:eastAsia="Times New Roman" w:hAnsi="Arial" w:cs="Arial"/>
            <w:color w:val="0E60AB"/>
            <w:sz w:val="25"/>
            <w:u w:val="single"/>
            <w:lang w:eastAsia="ru-RU"/>
          </w:rPr>
          <w:t>[1]</w:t>
        </w:r>
      </w:hyperlink>
      <w:r w:rsidRPr="003B56C0">
        <w:rPr>
          <w:rFonts w:ascii="Arial" w:eastAsia="Times New Roman" w:hAnsi="Arial" w:cs="Arial"/>
          <w:color w:val="222222"/>
          <w:sz w:val="25"/>
          <w:szCs w:val="25"/>
          <w:lang w:eastAsia="ru-RU"/>
        </w:rPr>
        <w:t> Статья 9 Закона Республики Беларусь от 19 ноября 1993 г. «О правах ребенка».</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hyperlink r:id="rId10" w:anchor="_ftnref2" w:history="1">
        <w:r w:rsidRPr="003B56C0">
          <w:rPr>
            <w:rFonts w:ascii="Arial" w:eastAsia="Times New Roman" w:hAnsi="Arial" w:cs="Arial"/>
            <w:color w:val="0E60AB"/>
            <w:sz w:val="25"/>
            <w:u w:val="single"/>
            <w:lang w:eastAsia="ru-RU"/>
          </w:rPr>
          <w:t>[2]</w:t>
        </w:r>
      </w:hyperlink>
      <w:r w:rsidRPr="003B56C0">
        <w:rPr>
          <w:rFonts w:ascii="Arial" w:eastAsia="Times New Roman" w:hAnsi="Arial" w:cs="Arial"/>
          <w:color w:val="222222"/>
          <w:sz w:val="25"/>
          <w:szCs w:val="25"/>
          <w:lang w:eastAsia="ru-RU"/>
        </w:rP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hyperlink r:id="rId11" w:anchor="_ftnref3" w:history="1">
        <w:r w:rsidRPr="003B56C0">
          <w:rPr>
            <w:rFonts w:ascii="Arial" w:eastAsia="Times New Roman" w:hAnsi="Arial" w:cs="Arial"/>
            <w:color w:val="0E60AB"/>
            <w:sz w:val="25"/>
            <w:u w:val="single"/>
            <w:lang w:eastAsia="ru-RU"/>
          </w:rPr>
          <w:t>[3]</w:t>
        </w:r>
      </w:hyperlink>
      <w:r w:rsidRPr="003B56C0">
        <w:rPr>
          <w:rFonts w:ascii="Arial" w:eastAsia="Times New Roman" w:hAnsi="Arial" w:cs="Arial"/>
          <w:color w:val="222222"/>
          <w:sz w:val="25"/>
          <w:szCs w:val="25"/>
          <w:lang w:eastAsia="ru-RU"/>
        </w:rPr>
        <w:t>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3B56C0" w:rsidRPr="003B56C0" w:rsidRDefault="003B56C0" w:rsidP="003B56C0">
      <w:pPr>
        <w:shd w:val="clear" w:color="auto" w:fill="FFFFFF"/>
        <w:spacing w:after="150" w:line="240" w:lineRule="auto"/>
        <w:jc w:val="both"/>
        <w:rPr>
          <w:rFonts w:ascii="Arial" w:eastAsia="Times New Roman" w:hAnsi="Arial" w:cs="Arial"/>
          <w:color w:val="222222"/>
          <w:sz w:val="25"/>
          <w:szCs w:val="25"/>
          <w:lang w:eastAsia="ru-RU"/>
        </w:rPr>
      </w:pPr>
      <w:hyperlink r:id="rId12" w:anchor="_ftnref4" w:history="1">
        <w:r w:rsidRPr="003B56C0">
          <w:rPr>
            <w:rFonts w:ascii="Arial" w:eastAsia="Times New Roman" w:hAnsi="Arial" w:cs="Arial"/>
            <w:color w:val="0E60AB"/>
            <w:sz w:val="25"/>
            <w:u w:val="single"/>
            <w:lang w:eastAsia="ru-RU"/>
          </w:rPr>
          <w:t>[4]</w:t>
        </w:r>
      </w:hyperlink>
      <w:r w:rsidRPr="003B56C0">
        <w:rPr>
          <w:rFonts w:ascii="Arial" w:eastAsia="Times New Roman" w:hAnsi="Arial" w:cs="Arial"/>
          <w:color w:val="222222"/>
          <w:sz w:val="25"/>
          <w:szCs w:val="25"/>
          <w:lang w:eastAsia="ru-RU"/>
        </w:rPr>
        <w:t>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3B56C0" w:rsidRPr="003B56C0" w:rsidRDefault="003B56C0" w:rsidP="003B56C0">
      <w:pPr>
        <w:shd w:val="clear" w:color="auto" w:fill="FFFFFF"/>
        <w:spacing w:line="240" w:lineRule="auto"/>
        <w:jc w:val="both"/>
        <w:rPr>
          <w:rFonts w:ascii="Arial" w:eastAsia="Times New Roman" w:hAnsi="Arial" w:cs="Arial"/>
          <w:color w:val="222222"/>
          <w:sz w:val="25"/>
          <w:szCs w:val="25"/>
          <w:lang w:eastAsia="ru-RU"/>
        </w:rPr>
      </w:pPr>
      <w:hyperlink r:id="rId13" w:anchor="_ftnref5" w:history="1">
        <w:r w:rsidRPr="003B56C0">
          <w:rPr>
            <w:rFonts w:ascii="Arial" w:eastAsia="Times New Roman" w:hAnsi="Arial" w:cs="Arial"/>
            <w:color w:val="0E60AB"/>
            <w:sz w:val="25"/>
            <w:u w:val="single"/>
            <w:lang w:eastAsia="ru-RU"/>
          </w:rPr>
          <w:t>[5]</w:t>
        </w:r>
      </w:hyperlink>
      <w:r w:rsidRPr="003B56C0">
        <w:rPr>
          <w:rFonts w:ascii="Arial" w:eastAsia="Times New Roman" w:hAnsi="Arial" w:cs="Arial"/>
          <w:color w:val="222222"/>
          <w:sz w:val="25"/>
          <w:szCs w:val="25"/>
          <w:lang w:eastAsia="ru-RU"/>
        </w:rPr>
        <w:t> Статья 18 Закона Республики Беларусь от 1 июля 2010 г. «Об оказании психологической помощи»</w:t>
      </w:r>
    </w:p>
    <w:p w:rsidR="00D047CE" w:rsidRDefault="00D047CE"/>
    <w:sectPr w:rsidR="00D047CE" w:rsidSect="00D04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6C0"/>
    <w:rsid w:val="003B56C0"/>
    <w:rsid w:val="00D0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CE"/>
  </w:style>
  <w:style w:type="paragraph" w:styleId="1">
    <w:name w:val="heading 1"/>
    <w:basedOn w:val="a"/>
    <w:link w:val="10"/>
    <w:uiPriority w:val="9"/>
    <w:qFormat/>
    <w:rsid w:val="003B5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6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B5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56C0"/>
    <w:rPr>
      <w:color w:val="0000FF"/>
      <w:u w:val="single"/>
    </w:rPr>
  </w:style>
  <w:style w:type="character" w:styleId="a5">
    <w:name w:val="Strong"/>
    <w:basedOn w:val="a0"/>
    <w:uiPriority w:val="22"/>
    <w:qFormat/>
    <w:rsid w:val="003B56C0"/>
    <w:rPr>
      <w:b/>
      <w:bCs/>
    </w:rPr>
  </w:style>
</w:styles>
</file>

<file path=word/webSettings.xml><?xml version="1.0" encoding="utf-8"?>
<w:webSettings xmlns:r="http://schemas.openxmlformats.org/officeDocument/2006/relationships" xmlns:w="http://schemas.openxmlformats.org/wordprocessingml/2006/main">
  <w:divs>
    <w:div w:id="837380027">
      <w:bodyDiv w:val="1"/>
      <w:marLeft w:val="0"/>
      <w:marRight w:val="0"/>
      <w:marTop w:val="0"/>
      <w:marBottom w:val="0"/>
      <w:divBdr>
        <w:top w:val="none" w:sz="0" w:space="0" w:color="auto"/>
        <w:left w:val="none" w:sz="0" w:space="0" w:color="auto"/>
        <w:bottom w:val="none" w:sz="0" w:space="0" w:color="auto"/>
        <w:right w:val="none" w:sz="0" w:space="0" w:color="auto"/>
      </w:divBdr>
      <w:divsChild>
        <w:div w:id="1371880867">
          <w:marLeft w:val="0"/>
          <w:marRight w:val="0"/>
          <w:marTop w:val="0"/>
          <w:marBottom w:val="225"/>
          <w:divBdr>
            <w:top w:val="none" w:sz="0" w:space="0" w:color="auto"/>
            <w:left w:val="none" w:sz="0" w:space="0" w:color="auto"/>
            <w:bottom w:val="none" w:sz="0" w:space="0" w:color="auto"/>
            <w:right w:val="none" w:sz="0" w:space="0" w:color="auto"/>
          </w:divBdr>
          <w:divsChild>
            <w:div w:id="13263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13"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3" Type="http://schemas.openxmlformats.org/officeDocument/2006/relationships/webSettings" Target="webSettings.xml"/><Relationship Id="rId7"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12"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11"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5"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15" Type="http://schemas.openxmlformats.org/officeDocument/2006/relationships/theme" Target="theme/theme1.xml"/><Relationship Id="rId10"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4"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9" Type="http://schemas.openxmlformats.org/officeDocument/2006/relationships/hyperlink" Target="https://ddu52grodno.schools.by/m/pages/algoritm-informirovanija-pedagogicheskimi-rabotnikami-roditelej-opekunov-popechitelej-obuchajuschihsja-i-ili-sotrudnikov-organov-vnutrennih-del-o-nalichii-priznakov-nasilija-v-otnoshenii-nesovershennoletni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10214</Characters>
  <Application>Microsoft Office Word</Application>
  <DocSecurity>0</DocSecurity>
  <Lines>85</Lines>
  <Paragraphs>23</Paragraphs>
  <ScaleCrop>false</ScaleCrop>
  <Company>SPecialiST RePack</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2024-10-23T07:16:00Z</dcterms:created>
  <dcterms:modified xsi:type="dcterms:W3CDTF">2024-10-23T07:16:00Z</dcterms:modified>
</cp:coreProperties>
</file>